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华文仿宋" w:hAnsi="华文仿宋" w:eastAsia="华文仿宋" w:cs="华文仿宋"/>
          <w:b/>
          <w:bCs/>
          <w:sz w:val="36"/>
          <w:szCs w:val="36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36"/>
          <w:lang w:eastAsia="zh-CN"/>
        </w:rPr>
        <w:t>系统登录</w:t>
      </w:r>
    </w:p>
    <w:p>
      <w:pPr>
        <w:widowControl w:val="0"/>
        <w:numPr>
          <w:ilvl w:val="0"/>
          <w:numId w:val="0"/>
        </w:numPr>
        <w:ind w:firstLine="280" w:firstLineChars="100"/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（1）在达州市中介超市网站，点击右上角的“主管部门登录”，进入登录页面：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</w:rPr>
        <w:drawing>
          <wp:inline distT="0" distB="0" distL="114300" distR="114300">
            <wp:extent cx="5269230" cy="3112135"/>
            <wp:effectExtent l="0" t="0" r="7620" b="1206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1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280" w:firstLineChars="100"/>
        <w:jc w:val="both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）在登录页面，输入账号和密码，点击“立即登录”：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</w:rPr>
        <w:drawing>
          <wp:inline distT="0" distB="0" distL="114300" distR="114300">
            <wp:extent cx="5270500" cy="2688590"/>
            <wp:effectExtent l="0" t="0" r="6350" b="1651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</w:rPr>
        <w:br w:type="page"/>
      </w:r>
    </w:p>
    <w:p>
      <w:pPr>
        <w:numPr>
          <w:ilvl w:val="0"/>
          <w:numId w:val="1"/>
        </w:numPr>
        <w:rPr>
          <w:rFonts w:hint="eastAsia" w:ascii="华文仿宋" w:hAnsi="华文仿宋" w:eastAsia="华文仿宋" w:cs="华文仿宋"/>
          <w:b/>
          <w:bCs/>
          <w:sz w:val="36"/>
          <w:szCs w:val="36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36"/>
          <w:lang w:eastAsia="zh-CN"/>
        </w:rPr>
        <w:t>资料审核</w:t>
      </w:r>
    </w:p>
    <w:p>
      <w:pPr>
        <w:widowControl w:val="0"/>
        <w:numPr>
          <w:ilvl w:val="0"/>
          <w:numId w:val="0"/>
        </w:numPr>
        <w:ind w:leftChars="0" w:firstLine="280" w:firstLineChars="100"/>
        <w:jc w:val="both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）登录成功后，主管部门可在“代办事项”和右上角所示图标中查看到需要办理的工作（办理后自动从列表中消失），或通过“入库中介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-企业信息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”菜单进入审核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：</w:t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</w:rPr>
        <w:drawing>
          <wp:inline distT="0" distB="0" distL="114300" distR="114300">
            <wp:extent cx="4806950" cy="1953260"/>
            <wp:effectExtent l="0" t="0" r="12700" b="889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6950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</w:rPr>
        <w:drawing>
          <wp:inline distT="0" distB="0" distL="114300" distR="114300">
            <wp:extent cx="4866005" cy="1689735"/>
            <wp:effectExtent l="0" t="0" r="10795" b="5715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6005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100" w:firstLine="280" w:firstLineChars="100"/>
        <w:jc w:val="both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）通过代办事项进入审核页面，点击“扫描件验证”，对注册单位上传的扫描件进行审核：</w:t>
      </w:r>
    </w:p>
    <w:p>
      <w:pPr>
        <w:widowControl w:val="0"/>
        <w:numPr>
          <w:ilvl w:val="0"/>
          <w:numId w:val="0"/>
        </w:numPr>
        <w:ind w:leftChars="100"/>
        <w:jc w:val="both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</w:rPr>
        <w:drawing>
          <wp:inline distT="0" distB="0" distL="114300" distR="114300">
            <wp:extent cx="5270500" cy="2784475"/>
            <wp:effectExtent l="0" t="0" r="6350" b="1587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8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0" w:firstLineChars="100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3）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点击进入扫描件列表页面，点击右侧对应的“电子件管理”：</w:t>
      </w:r>
    </w:p>
    <w:p>
      <w:pPr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</w:rPr>
        <w:drawing>
          <wp:inline distT="0" distB="0" distL="114300" distR="114300">
            <wp:extent cx="5270500" cy="2285365"/>
            <wp:effectExtent l="0" t="0" r="6350" b="63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0" w:firstLineChars="100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）进入电子件审核页面查看电子件，若无误则点击“验证通过”，若有误，则点击“验证不通过”：</w:t>
      </w:r>
    </w:p>
    <w:p>
      <w:pPr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drawing>
          <wp:inline distT="0" distB="0" distL="114300" distR="114300">
            <wp:extent cx="5269865" cy="1546860"/>
            <wp:effectExtent l="0" t="0" r="6985" b="1524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0" w:firstLineChars="100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）若所有信息都验证后无误，则点击基本信息页面的“验证通过”，审核通过后，注册单位才能正常开展业务：</w:t>
      </w:r>
    </w:p>
    <w:p>
      <w:pPr>
        <w:jc w:val="center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drawing>
          <wp:inline distT="0" distB="0" distL="114300" distR="114300">
            <wp:extent cx="4057015" cy="2712085"/>
            <wp:effectExtent l="0" t="0" r="635" b="1206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7015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0" w:firstLineChars="100"/>
        <w:jc w:val="both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）若注册单位的信息有误，则点击“不同意”，输入原因后，点击“确认提交”，退回由注册单位修改：</w:t>
      </w:r>
    </w:p>
    <w:p>
      <w:pPr>
        <w:jc w:val="center"/>
        <w:rPr>
          <w:rFonts w:hint="eastAsia" w:ascii="华文仿宋" w:hAnsi="华文仿宋" w:eastAsia="华文仿宋" w:cs="华文仿宋"/>
          <w:color w:val="FF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28"/>
          <w:szCs w:val="28"/>
        </w:rPr>
        <w:drawing>
          <wp:inline distT="0" distB="0" distL="114300" distR="114300">
            <wp:extent cx="4447540" cy="2204720"/>
            <wp:effectExtent l="0" t="0" r="10160" b="508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47540" cy="220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9CEC"/>
    <w:multiLevelType w:val="singleLevel"/>
    <w:tmpl w:val="0E199C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D71BD"/>
    <w:rsid w:val="049104C5"/>
    <w:rsid w:val="18312179"/>
    <w:rsid w:val="1B747B71"/>
    <w:rsid w:val="26EB3171"/>
    <w:rsid w:val="32F67202"/>
    <w:rsid w:val="33C50BFF"/>
    <w:rsid w:val="41CC7262"/>
    <w:rsid w:val="5A985475"/>
    <w:rsid w:val="5B68085B"/>
    <w:rsid w:val="5D6D07FD"/>
    <w:rsid w:val="62E2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2019-03-16T07:52:47Z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